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C4" w:rsidRDefault="00DB2CC4">
      <w:r w:rsidRPr="00DB2CC4">
        <w:drawing>
          <wp:inline distT="0" distB="0" distL="0" distR="0">
            <wp:extent cx="9313209" cy="5540188"/>
            <wp:effectExtent l="19050" t="0" r="21291" b="3362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DB2CC4" w:rsidSect="00DB2C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defaultTabStop w:val="708"/>
  <w:characterSpacingControl w:val="doNotCompress"/>
  <w:compat/>
  <w:rsids>
    <w:rsidRoot w:val="00DB2CC4"/>
    <w:rsid w:val="0027348B"/>
    <w:rsid w:val="006E5320"/>
    <w:rsid w:val="00DB2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2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cluster-232\disk_Q\&#1054;&#1090;&#1076;&#1077;&#1083;%20&#1042;&#1060;&#1056;\&#1050;&#1080;&#1089;&#1077;&#1083;&#1077;&#1074;&#1072;\&#1053;&#1072;%20&#1089;&#1072;&#1081;&#1090;%20223%20&#1060;&#1047;\&#1052;&#1086;&#1085;&#1080;&#1090;&#1086;&#1088;&#1080;&#1085;&#1075;%20Excel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14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Количество зарегистрированных
 в процентном соотношении</a:t>
            </a:r>
          </a:p>
        </c:rich>
      </c:tx>
      <c:layout>
        <c:manualLayout>
          <c:xMode val="edge"/>
          <c:yMode val="edge"/>
          <c:x val="0.13793120651142277"/>
          <c:y val="3.4816280464481542E-2"/>
        </c:manualLayout>
      </c:layout>
      <c:spPr>
        <a:noFill/>
        <a:ln w="25400">
          <a:noFill/>
        </a:ln>
      </c:spPr>
    </c:title>
    <c:view3D>
      <c:perspective val="0"/>
    </c:view3D>
    <c:plotArea>
      <c:layout>
        <c:manualLayout>
          <c:layoutTarget val="inner"/>
          <c:xMode val="edge"/>
          <c:yMode val="edge"/>
          <c:x val="5.7471336046426111E-2"/>
          <c:y val="0.38491332291287933"/>
          <c:w val="0.55172482604569073"/>
          <c:h val="0.33268890221615705"/>
        </c:manualLayout>
      </c:layout>
      <c:pie3DChart>
        <c:varyColors val="1"/>
        <c:ser>
          <c:idx val="0"/>
          <c:order val="0"/>
          <c:tx>
            <c:strRef>
              <c:f>Лист3!$B$5</c:f>
              <c:strCache>
                <c:ptCount val="1"/>
                <c:pt idx="0">
                  <c:v>Количество зарегистрированных в процентном соотношении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1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42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Лист3!$A$6:$A$13</c:f>
              <c:strCache>
                <c:ptCount val="8"/>
                <c:pt idx="0">
                  <c:v>Государственные унитарные предприятия</c:v>
                </c:pt>
                <c:pt idx="1">
                  <c:v>Муниципальные унитарные предприятия</c:v>
                </c:pt>
                <c:pt idx="2">
                  <c:v>Автономные учреждения</c:v>
                </c:pt>
                <c:pt idx="3">
                  <c:v>Хозяйственные общества, в уставном капитале которых доля участия муниципального образования в совокупности превышает пятьдесят процентов</c:v>
                </c:pt>
                <c:pt idx="4">
                  <c:v>Бюджетные учреждения</c:v>
                </c:pt>
                <c:pt idx="5">
                  <c:v>Субъект естественной монополии</c:v>
                </c:pt>
                <c:pt idx="6">
                  <c:v>Организации осуществляющие регулируемые виды деятельности в сфере электроснабжения, газоснабжения, теплоснабжения, водоснабжения, водоотведения, очистки сточных вод, утилизации (захоронения) твердых бытовых отходов</c:v>
                </c:pt>
                <c:pt idx="7">
                  <c:v>Иные</c:v>
                </c:pt>
              </c:strCache>
            </c:strRef>
          </c:cat>
          <c:val>
            <c:numRef>
              <c:f>Лист3!$B$6:$B$13</c:f>
              <c:numCache>
                <c:formatCode>General</c:formatCode>
                <c:ptCount val="8"/>
                <c:pt idx="0">
                  <c:v>8</c:v>
                </c:pt>
                <c:pt idx="1">
                  <c:v>17</c:v>
                </c:pt>
                <c:pt idx="2">
                  <c:v>68</c:v>
                </c:pt>
                <c:pt idx="3">
                  <c:v>10</c:v>
                </c:pt>
                <c:pt idx="4">
                  <c:v>54</c:v>
                </c:pt>
                <c:pt idx="5">
                  <c:v>8</c:v>
                </c:pt>
                <c:pt idx="6">
                  <c:v>10</c:v>
                </c:pt>
                <c:pt idx="7">
                  <c:v>2</c:v>
                </c:pt>
              </c:numCache>
            </c:numRef>
          </c:val>
        </c:ser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5297937437136233"/>
          <c:y val="9.6280888694886824E-3"/>
          <c:w val="0.34063623393949088"/>
          <c:h val="0.98457012197143046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4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Беликов Андрей Иванович</dc:creator>
  <cp:keywords/>
  <dc:description/>
  <cp:lastModifiedBy>Беликов Андрей Иванович</cp:lastModifiedBy>
  <cp:revision>1</cp:revision>
  <dcterms:created xsi:type="dcterms:W3CDTF">2014-03-26T07:59:00Z</dcterms:created>
  <dcterms:modified xsi:type="dcterms:W3CDTF">2014-03-26T08:00:00Z</dcterms:modified>
</cp:coreProperties>
</file>